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161817">
      <w:pPr>
        <w:rPr>
          <w:lang w:val="fr-FR"/>
        </w:rPr>
      </w:pPr>
      <w:bookmarkStart w:id="0" w:name="Text1"/>
      <w:bookmarkStart w:id="1" w:name="Text2"/>
      <w:bookmarkStart w:id="2" w:name="_GoBack"/>
      <w:bookmarkEnd w:id="2"/>
      <w:r>
        <w:rPr>
          <w:b/>
          <w:u w:val="single"/>
          <w:lang w:val="fr-FR"/>
        </w:rPr>
        <w:t>PAROIS DE SEPARATION CABRI 615 carottage</w:t>
      </w:r>
      <w:r>
        <w:rPr>
          <w:b/>
          <w:u w:val="single"/>
          <w:lang w:val="fr-FR"/>
        </w:rPr>
        <w:br/>
      </w:r>
      <w:r>
        <w:rPr>
          <w:lang w:val="fr-FR"/>
        </w:rPr>
        <w:br/>
        <w:t>Portes, parois de séparation et avant en verre de sécurité</w:t>
      </w:r>
      <w:r>
        <w:rPr>
          <w:lang w:val="fr-FR"/>
        </w:rPr>
        <w:br/>
        <w:t>trempé (ESG) Cabrillant selon EN 12150-2. Float 10 mm,</w:t>
      </w:r>
      <w:r>
        <w:rPr>
          <w:lang w:val="fr-FR"/>
        </w:rPr>
        <w:br/>
        <w:t>émaillé sur toute la surface par sérigraphie, toutes les arêtes polies</w:t>
      </w:r>
      <w:r>
        <w:rPr>
          <w:lang w:val="fr-FR"/>
        </w:rPr>
        <w:br/>
        <w:t>à plat. Couleurs selon standa</w:t>
      </w:r>
      <w:r>
        <w:rPr>
          <w:lang w:val="fr-FR"/>
        </w:rPr>
        <w:t>rd - palette de couleurs.</w:t>
      </w:r>
      <w:r>
        <w:rPr>
          <w:lang w:val="fr-FR"/>
        </w:rPr>
        <w:br/>
        <w:t xml:space="preserve">Hauteur de verre </w:t>
      </w:r>
      <w:r>
        <w:rPr>
          <w:lang w:val="fr-FR"/>
        </w:rPr>
        <w:fldChar w:fldCharType="begin">
          <w:ffData>
            <w:name w:val="Text1"/>
            <w:enabled/>
            <w:calcOnExit w:val="0"/>
            <w:textInput>
              <w:maxLength w:val="3"/>
            </w:textInput>
          </w:ffData>
        </w:fldChar>
      </w:r>
      <w:r>
        <w:rPr>
          <w:lang w:val="fr-FR"/>
        </w:rPr>
        <w:instrText xml:space="preserve"> </w:instrText>
      </w:r>
      <w:r>
        <w:rPr>
          <w:lang w:val="fr-FR"/>
        </w:rPr>
        <w:instrText>FORMTEXT</w:instrText>
      </w:r>
      <w:r>
        <w:rPr>
          <w:lang w:val="fr-FR"/>
        </w:rPr>
        <w:instrText xml:space="preserve"> </w:instrText>
      </w:r>
      <w:r>
        <w:rPr>
          <w:lang w:val="fr-FR"/>
        </w:rPr>
      </w:r>
      <w:r>
        <w:rPr>
          <w:lang w:val="fr-FR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lang w:val="fr-FR"/>
        </w:rPr>
        <w:fldChar w:fldCharType="end"/>
      </w:r>
      <w:r>
        <w:rPr>
          <w:lang w:val="fr-FR"/>
        </w:rPr>
        <w:t xml:space="preserve"> cm.</w:t>
      </w:r>
      <w:r>
        <w:rPr>
          <w:lang w:val="fr-FR"/>
        </w:rPr>
        <w:br/>
      </w:r>
      <w:r>
        <w:rPr>
          <w:lang w:val="fr-FR"/>
        </w:rPr>
        <w:br/>
        <w:t>Portes, parois de séparation et avant en verre de sécurité trempé (ESG) Cabrillant</w:t>
      </w:r>
      <w:r>
        <w:rPr>
          <w:lang w:val="fr-FR"/>
        </w:rPr>
        <w:br/>
        <w:t>selon EN 12150-2. Listral SR 200,10 mm</w:t>
      </w:r>
      <w:r>
        <w:rPr>
          <w:lang w:val="fr-FR"/>
        </w:rPr>
        <w:br/>
        <w:t>(surface structurée) émaillé sur toute la surface,</w:t>
      </w:r>
      <w:r>
        <w:rPr>
          <w:lang w:val="fr-FR"/>
        </w:rPr>
        <w:br/>
        <w:t>toutes les arêtes polies à plat. Couleurs selon standard -</w:t>
      </w:r>
      <w:r>
        <w:rPr>
          <w:lang w:val="fr-FR"/>
        </w:rPr>
        <w:br/>
        <w:t>palette de cou</w:t>
      </w:r>
      <w:r>
        <w:rPr>
          <w:lang w:val="fr-FR"/>
        </w:rPr>
        <w:t xml:space="preserve">leurs. Hauteur de verre </w:t>
      </w:r>
      <w:r>
        <w:rPr>
          <w:lang w:val="fr-FR"/>
        </w:rPr>
        <w:fldChar w:fldCharType="begin">
          <w:ffData>
            <w:name w:val="Text1"/>
            <w:enabled/>
            <w:calcOnExit w:val="0"/>
            <w:textInput>
              <w:maxLength w:val="3"/>
            </w:textInput>
          </w:ffData>
        </w:fldChar>
      </w:r>
      <w:r>
        <w:rPr>
          <w:lang w:val="fr-FR"/>
        </w:rPr>
        <w:instrText xml:space="preserve"> </w:instrText>
      </w:r>
      <w:r>
        <w:rPr>
          <w:lang w:val="fr-FR"/>
        </w:rPr>
        <w:instrText>FORMTEXT</w:instrText>
      </w:r>
      <w:r>
        <w:rPr>
          <w:lang w:val="fr-FR"/>
        </w:rPr>
        <w:instrText xml:space="preserve"> </w:instrText>
      </w:r>
      <w:r>
        <w:rPr>
          <w:lang w:val="fr-FR"/>
        </w:rPr>
      </w:r>
      <w:r>
        <w:rPr>
          <w:lang w:val="fr-FR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lang w:val="fr-FR"/>
        </w:rPr>
        <w:fldChar w:fldCharType="end"/>
      </w:r>
      <w:r>
        <w:rPr>
          <w:lang w:val="fr-FR"/>
        </w:rPr>
        <w:t xml:space="preserve"> cm.</w:t>
      </w:r>
      <w:r>
        <w:rPr>
          <w:lang w:val="fr-FR"/>
        </w:rPr>
        <w:br/>
      </w:r>
      <w:r>
        <w:rPr>
          <w:lang w:val="fr-FR"/>
        </w:rPr>
        <w:br/>
        <w:t>Portes, parois de séparation et avant en verre de sécurité trempé (ESG) Cabrillant</w:t>
      </w:r>
      <w:r>
        <w:rPr>
          <w:lang w:val="fr-FR"/>
        </w:rPr>
        <w:br/>
        <w:t>selon EN 12150-2. Satinato 10 mm</w:t>
      </w:r>
      <w:r>
        <w:rPr>
          <w:lang w:val="fr-FR"/>
        </w:rPr>
        <w:br/>
        <w:t>(surface satinée d’un côté) émaillé sur toute la surface,</w:t>
      </w:r>
      <w:r>
        <w:rPr>
          <w:lang w:val="fr-FR"/>
        </w:rPr>
        <w:br/>
        <w:t>toutes les arêtes polies à plat. Co</w:t>
      </w:r>
      <w:r>
        <w:rPr>
          <w:lang w:val="fr-FR"/>
        </w:rPr>
        <w:t>uleurs selon standard -</w:t>
      </w:r>
      <w:r>
        <w:rPr>
          <w:lang w:val="fr-FR"/>
        </w:rPr>
        <w:br/>
        <w:t xml:space="preserve">palette de couleurs. Hauteur de verre </w:t>
      </w:r>
      <w:r>
        <w:rPr>
          <w:lang w:val="fr-FR"/>
        </w:rPr>
        <w:fldChar w:fldCharType="begin">
          <w:ffData>
            <w:name w:val="Text1"/>
            <w:enabled/>
            <w:calcOnExit w:val="0"/>
            <w:textInput>
              <w:maxLength w:val="3"/>
            </w:textInput>
          </w:ffData>
        </w:fldChar>
      </w:r>
      <w:r>
        <w:rPr>
          <w:lang w:val="fr-FR"/>
        </w:rPr>
        <w:instrText xml:space="preserve"> </w:instrText>
      </w:r>
      <w:r>
        <w:rPr>
          <w:lang w:val="fr-FR"/>
        </w:rPr>
        <w:instrText>FORMTEXT</w:instrText>
      </w:r>
      <w:r>
        <w:rPr>
          <w:lang w:val="fr-FR"/>
        </w:rPr>
        <w:instrText xml:space="preserve"> </w:instrText>
      </w:r>
      <w:r>
        <w:rPr>
          <w:lang w:val="fr-FR"/>
        </w:rPr>
      </w:r>
      <w:r>
        <w:rPr>
          <w:lang w:val="fr-FR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lang w:val="fr-FR"/>
        </w:rPr>
        <w:fldChar w:fldCharType="end"/>
      </w:r>
      <w:r>
        <w:rPr>
          <w:lang w:val="fr-FR"/>
        </w:rPr>
        <w:t xml:space="preserve"> cm.</w:t>
      </w:r>
      <w:r>
        <w:rPr>
          <w:lang w:val="fr-FR"/>
        </w:rPr>
        <w:br/>
      </w:r>
      <w:r>
        <w:rPr>
          <w:lang w:val="fr-FR"/>
        </w:rPr>
        <w:br/>
        <w:t>Portes, parois de séparation et avant en verre de sécurité trempé (ESG) Cabrillant</w:t>
      </w:r>
      <w:r>
        <w:rPr>
          <w:lang w:val="fr-FR"/>
        </w:rPr>
        <w:br/>
        <w:t>selon EN 12150-2. Float extra-blanc</w:t>
      </w:r>
      <w:r>
        <w:rPr>
          <w:lang w:val="fr-FR"/>
        </w:rPr>
        <w:br/>
        <w:t>10 mm (verre sans «dominante verte») émaillé sur tou</w:t>
      </w:r>
      <w:r>
        <w:rPr>
          <w:lang w:val="fr-FR"/>
        </w:rPr>
        <w:t>te la surface,</w:t>
      </w:r>
      <w:r>
        <w:rPr>
          <w:lang w:val="fr-FR"/>
        </w:rPr>
        <w:br/>
        <w:t>toutes les arêtes polies à plat. Couleurs selon standard -</w:t>
      </w:r>
      <w:r>
        <w:rPr>
          <w:lang w:val="fr-FR"/>
        </w:rPr>
        <w:br/>
        <w:t xml:space="preserve">palette de couleurs. Hauteur de verre </w:t>
      </w:r>
      <w:r>
        <w:rPr>
          <w:lang w:val="fr-FR"/>
        </w:rPr>
        <w:fldChar w:fldCharType="begin">
          <w:ffData>
            <w:name w:val="Text1"/>
            <w:enabled/>
            <w:calcOnExit w:val="0"/>
            <w:textInput>
              <w:maxLength w:val="3"/>
            </w:textInput>
          </w:ffData>
        </w:fldChar>
      </w:r>
      <w:r>
        <w:rPr>
          <w:lang w:val="fr-FR"/>
        </w:rPr>
        <w:instrText xml:space="preserve"> </w:instrText>
      </w:r>
      <w:r>
        <w:rPr>
          <w:lang w:val="fr-FR"/>
        </w:rPr>
        <w:instrText>FORMTEXT</w:instrText>
      </w:r>
      <w:r>
        <w:rPr>
          <w:lang w:val="fr-FR"/>
        </w:rPr>
        <w:instrText xml:space="preserve"> </w:instrText>
      </w:r>
      <w:r>
        <w:rPr>
          <w:lang w:val="fr-FR"/>
        </w:rPr>
      </w:r>
      <w:r>
        <w:rPr>
          <w:lang w:val="fr-FR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lang w:val="fr-FR"/>
        </w:rPr>
        <w:fldChar w:fldCharType="end"/>
      </w:r>
      <w:r>
        <w:rPr>
          <w:lang w:val="fr-FR"/>
        </w:rPr>
        <w:t xml:space="preserve"> cm.</w:t>
      </w:r>
      <w:r>
        <w:rPr>
          <w:lang w:val="fr-FR"/>
        </w:rPr>
        <w:br/>
      </w:r>
      <w:r>
        <w:rPr>
          <w:lang w:val="fr-FR"/>
        </w:rPr>
        <w:br/>
        <w:t>Portes, parois de séparation et avant en verre de sécurité feuilleté VSG Cabrillant,</w:t>
      </w:r>
      <w:r>
        <w:rPr>
          <w:lang w:val="fr-FR"/>
        </w:rPr>
        <w:br/>
        <w:t>à partir de verre de sécurité trempé</w:t>
      </w:r>
      <w:r>
        <w:rPr>
          <w:lang w:val="fr-FR"/>
        </w:rPr>
        <w:t xml:space="preserve"> 2 x 5 mm Float</w:t>
      </w:r>
      <w:r>
        <w:rPr>
          <w:lang w:val="fr-FR"/>
        </w:rPr>
        <w:br/>
        <w:t>(ESG) selon EN 12150-2. 1 verre au milieu émaillé sur toute la surface par</w:t>
      </w:r>
      <w:r>
        <w:rPr>
          <w:lang w:val="fr-FR"/>
        </w:rPr>
        <w:br/>
        <w:t xml:space="preserve">sérigraphie, feuille PVB 1,52 mm. Hauteur de verre </w:t>
      </w:r>
      <w:r>
        <w:rPr>
          <w:lang w:val="fr-FR"/>
        </w:rPr>
        <w:fldChar w:fldCharType="begin">
          <w:ffData>
            <w:name w:val="Text1"/>
            <w:enabled/>
            <w:calcOnExit w:val="0"/>
            <w:textInput>
              <w:maxLength w:val="3"/>
            </w:textInput>
          </w:ffData>
        </w:fldChar>
      </w:r>
      <w:r>
        <w:rPr>
          <w:lang w:val="fr-FR"/>
        </w:rPr>
        <w:instrText xml:space="preserve"> </w:instrText>
      </w:r>
      <w:r>
        <w:rPr>
          <w:lang w:val="fr-FR"/>
        </w:rPr>
        <w:instrText>FORMTEXT</w:instrText>
      </w:r>
      <w:r>
        <w:rPr>
          <w:lang w:val="fr-FR"/>
        </w:rPr>
        <w:instrText xml:space="preserve"> </w:instrText>
      </w:r>
      <w:r>
        <w:rPr>
          <w:lang w:val="fr-FR"/>
        </w:rPr>
      </w:r>
      <w:r>
        <w:rPr>
          <w:lang w:val="fr-FR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lang w:val="fr-FR"/>
        </w:rPr>
        <w:fldChar w:fldCharType="end"/>
      </w:r>
      <w:r>
        <w:rPr>
          <w:lang w:val="fr-FR"/>
        </w:rPr>
        <w:t xml:space="preserve"> cm.</w:t>
      </w:r>
      <w:r>
        <w:rPr>
          <w:lang w:val="fr-FR"/>
        </w:rPr>
        <w:br/>
      </w:r>
      <w:r>
        <w:rPr>
          <w:lang w:val="fr-FR"/>
        </w:rPr>
        <w:br/>
        <w:t>Fixation au mur et raccordement des parois de séparation</w:t>
      </w:r>
      <w:r>
        <w:rPr>
          <w:lang w:val="fr-FR"/>
        </w:rPr>
        <w:br/>
        <w:t>avec les parois avant au moyen d’u</w:t>
      </w:r>
      <w:r>
        <w:rPr>
          <w:lang w:val="fr-FR"/>
        </w:rPr>
        <w:t>n raccord croisé. Pas de</w:t>
      </w:r>
      <w:r>
        <w:rPr>
          <w:lang w:val="fr-FR"/>
        </w:rPr>
        <w:br/>
        <w:t>vissage visible, ou</w:t>
      </w:r>
      <w:r>
        <w:rPr>
          <w:lang w:val="fr-FR"/>
        </w:rPr>
        <w:br/>
      </w:r>
      <w:r>
        <w:rPr>
          <w:lang w:val="fr-FR"/>
        </w:rPr>
        <w:br/>
        <w:t>Stabilisateurs verticaux par carottage Ø 55x120 mm</w:t>
      </w:r>
      <w:r>
        <w:rPr>
          <w:lang w:val="fr-FR"/>
        </w:rPr>
        <w:br/>
        <w:t>ancrés dans le sol (carottage effectué par nos soins). Logement</w:t>
      </w:r>
      <w:r>
        <w:rPr>
          <w:lang w:val="fr-FR"/>
        </w:rPr>
        <w:br/>
        <w:t>du tube galvanisé à chaud d’un diamètre de 48 mm.</w:t>
      </w:r>
      <w:r>
        <w:rPr>
          <w:lang w:val="fr-FR"/>
        </w:rPr>
        <w:br/>
        <w:t xml:space="preserve">Tube en aluminium éloxé incolore EV1 enfoncé </w:t>
      </w:r>
      <w:r>
        <w:rPr>
          <w:lang w:val="fr-FR"/>
        </w:rPr>
        <w:t>sur un support en acier</w:t>
      </w:r>
      <w:r>
        <w:rPr>
          <w:lang w:val="fr-FR"/>
        </w:rPr>
        <w:br/>
        <w:t>incl. les éléments de raccordement nécessaires, réglables</w:t>
      </w:r>
      <w:r>
        <w:rPr>
          <w:lang w:val="fr-FR"/>
        </w:rPr>
        <w:br/>
        <w:t>en hauteur et latéralement. Rosette de recouvrement en alu sur sol</w:t>
      </w:r>
      <w:r>
        <w:rPr>
          <w:lang w:val="fr-FR"/>
        </w:rPr>
        <w:br/>
        <w:t>fini de carreler.</w:t>
      </w:r>
      <w:r>
        <w:rPr>
          <w:lang w:val="fr-FR"/>
        </w:rPr>
        <w:br/>
      </w:r>
      <w:r>
        <w:rPr>
          <w:lang w:val="fr-FR"/>
        </w:rPr>
        <w:br/>
        <w:t>Pièces avant fixes avec pieds de parois de séparation appuyés sur un sol fini de carrele</w:t>
      </w:r>
      <w:r>
        <w:rPr>
          <w:lang w:val="fr-FR"/>
        </w:rPr>
        <w:t xml:space="preserve">r. Rosettes au sol en aluminium massif. Garde au sol </w:t>
      </w:r>
      <w:r>
        <w:rPr>
          <w:lang w:val="fr-FR"/>
        </w:rPr>
        <w:fldChar w:fldCharType="begin">
          <w:ffData>
            <w:name w:val="Text2"/>
            <w:enabled/>
            <w:calcOnExit w:val="0"/>
            <w:textInput>
              <w:maxLength w:val="2"/>
            </w:textInput>
          </w:ffData>
        </w:fldChar>
      </w:r>
      <w:r>
        <w:rPr>
          <w:lang w:val="fr-FR"/>
        </w:rPr>
        <w:instrText xml:space="preserve"> </w:instrText>
      </w:r>
      <w:r>
        <w:rPr>
          <w:lang w:val="fr-FR"/>
        </w:rPr>
        <w:instrText>FORMTEXT</w:instrText>
      </w:r>
      <w:r>
        <w:rPr>
          <w:lang w:val="fr-FR"/>
        </w:rPr>
        <w:instrText xml:space="preserve"> </w:instrText>
      </w:r>
      <w:r>
        <w:rPr>
          <w:lang w:val="fr-FR"/>
        </w:rPr>
      </w:r>
      <w:r>
        <w:rPr>
          <w:lang w:val="fr-FR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lang w:val="fr-FR"/>
        </w:rPr>
        <w:fldChar w:fldCharType="end"/>
      </w:r>
      <w:r>
        <w:rPr>
          <w:lang w:val="fr-FR"/>
        </w:rPr>
        <w:t xml:space="preserve"> cm.</w:t>
      </w:r>
      <w:r>
        <w:rPr>
          <w:lang w:val="fr-FR"/>
        </w:rPr>
        <w:br/>
      </w:r>
      <w:r>
        <w:rPr>
          <w:lang w:val="fr-FR"/>
        </w:rPr>
        <w:br/>
        <w:t>Pour les ouvertures de port ou les passages</w:t>
      </w:r>
      <w:r>
        <w:rPr>
          <w:lang w:val="fr-FR"/>
        </w:rPr>
        <w:br/>
        <w:t>rail de stabilisation du haut en aluminium. EV1, diamètre</w:t>
      </w:r>
      <w:r>
        <w:rPr>
          <w:lang w:val="fr-FR"/>
        </w:rPr>
        <w:br/>
        <w:t>25/19.</w:t>
      </w:r>
      <w:r>
        <w:rPr>
          <w:lang w:val="fr-FR"/>
        </w:rPr>
        <w:br/>
      </w:r>
      <w:r>
        <w:rPr>
          <w:lang w:val="fr-FR"/>
        </w:rPr>
        <w:br/>
      </w:r>
      <w:r>
        <w:rPr>
          <w:u w:val="single"/>
          <w:lang w:val="fr-FR"/>
        </w:rPr>
        <w:t>Raccords</w:t>
      </w:r>
    </w:p>
    <w:bookmarkEnd w:id="0"/>
    <w:bookmarkEnd w:id="1"/>
    <w:p w:rsidR="00000000" w:rsidRDefault="00161817">
      <w:pPr>
        <w:tabs>
          <w:tab w:val="left" w:pos="1418"/>
          <w:tab w:val="left" w:pos="1701"/>
        </w:tabs>
        <w:rPr>
          <w:lang w:val="fr-FR"/>
        </w:rPr>
      </w:pPr>
      <w:r>
        <w:rPr>
          <w:u w:val="single"/>
          <w:lang w:val="fr-FR"/>
        </w:rPr>
        <w:t>par cellule:</w:t>
      </w:r>
      <w:r>
        <w:rPr>
          <w:lang w:val="fr-FR"/>
        </w:rPr>
        <w:tab/>
        <w:t>2</w:t>
      </w:r>
      <w:r>
        <w:rPr>
          <w:lang w:val="fr-FR"/>
        </w:rPr>
        <w:tab/>
        <w:t xml:space="preserve">charnières en métal léger avec axe de rotation </w:t>
      </w:r>
      <w:r>
        <w:rPr>
          <w:lang w:val="fr-FR"/>
        </w:rPr>
        <w:t>en acier</w:t>
      </w:r>
      <w:r>
        <w:rPr>
          <w:lang w:val="fr-FR"/>
        </w:rPr>
        <w:br/>
      </w:r>
      <w:r>
        <w:rPr>
          <w:lang w:val="fr-FR"/>
        </w:rPr>
        <w:tab/>
      </w:r>
      <w:r>
        <w:rPr>
          <w:lang w:val="fr-FR"/>
        </w:rPr>
        <w:tab/>
        <w:t>Inoxydable et surface de glissement en</w:t>
      </w:r>
      <w:r>
        <w:rPr>
          <w:lang w:val="fr-FR"/>
        </w:rPr>
        <w:br/>
      </w:r>
      <w:r>
        <w:rPr>
          <w:lang w:val="fr-FR"/>
        </w:rPr>
        <w:tab/>
      </w:r>
      <w:r>
        <w:rPr>
          <w:lang w:val="fr-FR"/>
        </w:rPr>
        <w:tab/>
        <w:t>Nylon, incl. ressorts intégrés</w:t>
      </w:r>
      <w:r>
        <w:rPr>
          <w:lang w:val="fr-FR"/>
        </w:rPr>
        <w:br/>
      </w:r>
      <w:r>
        <w:rPr>
          <w:lang w:val="fr-FR"/>
        </w:rPr>
        <w:tab/>
      </w:r>
      <w:r>
        <w:rPr>
          <w:lang w:val="fr-FR"/>
        </w:rPr>
        <w:tab/>
        <w:t>pour position ouverte des portes</w:t>
      </w:r>
      <w:r>
        <w:rPr>
          <w:lang w:val="fr-FR"/>
        </w:rPr>
        <w:br/>
      </w:r>
      <w:r>
        <w:rPr>
          <w:lang w:val="fr-FR"/>
        </w:rPr>
        <w:tab/>
        <w:t>1</w:t>
      </w:r>
      <w:r>
        <w:rPr>
          <w:lang w:val="fr-FR"/>
        </w:rPr>
        <w:tab/>
        <w:t>Serrure à olive avec tête pivotante</w:t>
      </w:r>
      <w:r>
        <w:rPr>
          <w:lang w:val="fr-FR"/>
        </w:rPr>
        <w:br/>
      </w:r>
      <w:r>
        <w:rPr>
          <w:lang w:val="fr-FR"/>
        </w:rPr>
        <w:tab/>
      </w:r>
      <w:r>
        <w:rPr>
          <w:lang w:val="fr-FR"/>
        </w:rPr>
        <w:tab/>
        <w:t>intérieure, à l’extérieur avec affichage rouge-vert</w:t>
      </w:r>
      <w:r>
        <w:rPr>
          <w:lang w:val="fr-FR"/>
        </w:rPr>
        <w:br/>
      </w:r>
      <w:r>
        <w:rPr>
          <w:lang w:val="fr-FR"/>
        </w:rPr>
        <w:tab/>
        <w:t>1</w:t>
      </w:r>
      <w:r>
        <w:rPr>
          <w:lang w:val="fr-FR"/>
        </w:rPr>
        <w:tab/>
        <w:t>Butoir, monté avec antivol</w:t>
      </w:r>
      <w:r>
        <w:rPr>
          <w:lang w:val="fr-FR"/>
        </w:rPr>
        <w:br/>
      </w:r>
      <w:r>
        <w:rPr>
          <w:lang w:val="fr-FR"/>
        </w:rPr>
        <w:tab/>
        <w:t>1</w:t>
      </w:r>
      <w:r>
        <w:rPr>
          <w:lang w:val="fr-FR"/>
        </w:rPr>
        <w:tab/>
        <w:t>Protection v</w:t>
      </w:r>
      <w:r>
        <w:rPr>
          <w:lang w:val="fr-FR"/>
        </w:rPr>
        <w:t>isuelle à coincer entre les</w:t>
      </w:r>
      <w:r>
        <w:rPr>
          <w:lang w:val="fr-FR"/>
        </w:rPr>
        <w:br/>
      </w:r>
      <w:r>
        <w:rPr>
          <w:lang w:val="fr-FR"/>
        </w:rPr>
        <w:tab/>
      </w:r>
      <w:r>
        <w:rPr>
          <w:lang w:val="fr-FR"/>
        </w:rPr>
        <w:tab/>
        <w:t>charnières du côté intérieur</w:t>
      </w:r>
      <w:r>
        <w:rPr>
          <w:lang w:val="fr-FR"/>
        </w:rPr>
        <w:br/>
      </w:r>
      <w:r>
        <w:rPr>
          <w:lang w:val="fr-FR"/>
        </w:rPr>
        <w:tab/>
        <w:t>1</w:t>
      </w:r>
      <w:r>
        <w:rPr>
          <w:lang w:val="fr-FR"/>
        </w:rPr>
        <w:tab/>
        <w:t>protection visuelle du côté serrure, placée</w:t>
      </w:r>
      <w:r>
        <w:rPr>
          <w:lang w:val="fr-FR"/>
        </w:rPr>
        <w:br/>
      </w:r>
      <w:r>
        <w:rPr>
          <w:lang w:val="fr-FR"/>
        </w:rPr>
        <w:tab/>
      </w:r>
      <w:r>
        <w:rPr>
          <w:lang w:val="fr-FR"/>
        </w:rPr>
        <w:tab/>
        <w:t>à l’intérieur.</w:t>
      </w:r>
      <w:r>
        <w:rPr>
          <w:lang w:val="fr-FR"/>
        </w:rPr>
        <w:br/>
      </w:r>
      <w:r>
        <w:rPr>
          <w:lang w:val="fr-FR"/>
        </w:rPr>
        <w:lastRenderedPageBreak/>
        <w:br/>
      </w:r>
      <w:r>
        <w:rPr>
          <w:u w:val="single"/>
          <w:lang w:val="fr-FR"/>
        </w:rPr>
        <w:t>Variante:</w:t>
      </w:r>
      <w:r>
        <w:rPr>
          <w:lang w:val="fr-FR"/>
        </w:rPr>
        <w:tab/>
        <w:t>1</w:t>
      </w:r>
      <w:r>
        <w:rPr>
          <w:lang w:val="fr-FR"/>
        </w:rPr>
        <w:tab/>
        <w:t>Serrure avec poignée alu. Extérieur</w:t>
      </w:r>
      <w:r>
        <w:rPr>
          <w:lang w:val="fr-FR"/>
        </w:rPr>
        <w:br/>
      </w:r>
      <w:r>
        <w:rPr>
          <w:lang w:val="fr-FR"/>
        </w:rPr>
        <w:tab/>
      </w:r>
      <w:r>
        <w:rPr>
          <w:lang w:val="fr-FR"/>
        </w:rPr>
        <w:tab/>
        <w:t>Affichage rouge-vert, intérieur avec olive rotative</w:t>
      </w:r>
      <w:r>
        <w:rPr>
          <w:lang w:val="fr-FR"/>
        </w:rPr>
        <w:br/>
      </w:r>
      <w:r>
        <w:rPr>
          <w:lang w:val="fr-FR"/>
        </w:rPr>
        <w:br/>
      </w:r>
      <w:r>
        <w:rPr>
          <w:lang w:val="fr-FR"/>
        </w:rPr>
        <w:tab/>
      </w:r>
      <w:r>
        <w:rPr>
          <w:lang w:val="fr-FR"/>
        </w:rPr>
        <w:tab/>
        <w:t>Tous les raccords sont élox</w:t>
      </w:r>
      <w:r>
        <w:rPr>
          <w:lang w:val="fr-FR"/>
        </w:rPr>
        <w:t>és incolore, inoxydables</w:t>
      </w:r>
      <w:r>
        <w:rPr>
          <w:lang w:val="fr-FR"/>
        </w:rPr>
        <w:br/>
      </w:r>
      <w:r>
        <w:rPr>
          <w:lang w:val="fr-FR"/>
        </w:rPr>
        <w:br/>
      </w:r>
      <w:r>
        <w:rPr>
          <w:u w:val="single"/>
          <w:lang w:val="fr-FR"/>
        </w:rPr>
        <w:t>Pièces de construction</w:t>
      </w:r>
      <w:r>
        <w:rPr>
          <w:lang w:val="fr-FR"/>
        </w:rPr>
        <w:t>:</w:t>
      </w:r>
      <w:r>
        <w:rPr>
          <w:u w:val="single"/>
          <w:lang w:val="fr-FR"/>
        </w:rPr>
        <w:br/>
      </w:r>
      <w:r>
        <w:rPr>
          <w:lang w:val="fr-FR"/>
        </w:rPr>
        <w:br/>
        <w:t>Tous les éléments de raccordement en aluminium</w:t>
      </w:r>
      <w:r>
        <w:rPr>
          <w:lang w:val="fr-FR"/>
        </w:rPr>
        <w:br/>
        <w:t>(DIN 1725) sont résistants à la corrosion à 100% et</w:t>
      </w:r>
      <w:r>
        <w:rPr>
          <w:lang w:val="fr-FR"/>
        </w:rPr>
        <w:br/>
        <w:t>écologiques. Recyclage possible à 100%.</w:t>
      </w:r>
      <w:r>
        <w:rPr>
          <w:lang w:val="fr-FR"/>
        </w:rPr>
        <w:br/>
      </w:r>
      <w:r>
        <w:rPr>
          <w:lang w:val="fr-FR"/>
        </w:rPr>
        <w:br/>
      </w:r>
      <w:r>
        <w:rPr>
          <w:u w:val="single"/>
          <w:lang w:val="fr-FR"/>
        </w:rPr>
        <w:t>Verre de sécurité émaillé:</w:t>
      </w:r>
      <w:r>
        <w:rPr>
          <w:u w:val="single"/>
          <w:lang w:val="fr-FR"/>
        </w:rPr>
        <w:br/>
      </w:r>
      <w:r>
        <w:rPr>
          <w:lang w:val="fr-FR"/>
        </w:rPr>
        <w:br/>
        <w:t xml:space="preserve">Couleurs émaillées exemptes de plomb </w:t>
      </w:r>
      <w:r>
        <w:rPr>
          <w:lang w:val="fr-FR"/>
        </w:rPr>
        <w:t>et de cadmium, recyclage</w:t>
      </w:r>
      <w:r>
        <w:rPr>
          <w:lang w:val="fr-FR"/>
        </w:rPr>
        <w:br/>
        <w:t>possible à 100%.</w:t>
      </w:r>
    </w:p>
    <w:sectPr w:rsidR="00000000">
      <w:pgSz w:w="11906" w:h="16838"/>
      <w:pgMar w:top="1418" w:right="1418" w:bottom="1134" w:left="130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817"/>
    <w:rsid w:val="00161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  <w15:chartTrackingRefBased/>
  <w15:docId w15:val="{E41F75E1-E895-44CA-9C7D-7E29C1AD0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Pr>
      <w:rFonts w:ascii="Arial" w:hAnsi="Arial"/>
      <w:lang w:eastAsia="de-D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u w:val="single"/>
      <w:lang w:val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rPr>
      <w:rFonts w:ascii="Tahoma" w:hAnsi="Tahoma" w:cs="Tahoma"/>
      <w:sz w:val="16"/>
      <w:szCs w:val="16"/>
      <w:lang w:eastAsia="de-DE"/>
    </w:rPr>
  </w:style>
  <w:style w:type="paragraph" w:styleId="Anrede">
    <w:name w:val="Salutation"/>
    <w:basedOn w:val="Standard"/>
    <w:next w:val="Standard"/>
    <w:semiHidden/>
    <w:pPr>
      <w:spacing w:before="220" w:after="220" w:line="220" w:lineRule="atLeast"/>
      <w:jc w:val="both"/>
    </w:pPr>
    <w:rPr>
      <w:spacing w:val="-5"/>
      <w:lang w:val="de-DE"/>
    </w:rPr>
  </w:style>
  <w:style w:type="character" w:customStyle="1" w:styleId="tw4winMark">
    <w:name w:val="tw4winMark"/>
    <w:rPr>
      <w:rFonts w:ascii="Courier New" w:hAnsi="Courier New"/>
      <w:vanish/>
      <w:color w:val="800080"/>
      <w:vertAlign w:val="sub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493</Words>
  <Characters>2677</Characters>
  <Application>Microsoft Office Word</Application>
  <DocSecurity>0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CABRILLANT 615</vt:lpstr>
      <vt:lpstr>CABRILLANT 615</vt:lpstr>
    </vt:vector>
  </TitlesOfParts>
  <Company>Cabrillant AG, CH-7007 Chur</Company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CABRILLANT 615</dc:title>
  <dc:subject/>
  <dc:creator>R. Sgier</dc:creator>
  <cp:keywords/>
  <cp:lastModifiedBy>es</cp:lastModifiedBy>
  <cp:revision>2</cp:revision>
  <cp:lastPrinted>2011-01-27T14:31:00Z</cp:lastPrinted>
  <dcterms:created xsi:type="dcterms:W3CDTF">2016-10-26T19:02:00Z</dcterms:created>
  <dcterms:modified xsi:type="dcterms:W3CDTF">2016-10-26T19:02:00Z</dcterms:modified>
</cp:coreProperties>
</file>